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37FC9" w:rsidRDefault="00537FC9" w:rsidP="0047583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National Science Foundation</w:t>
      </w:r>
      <w:r w:rsidR="002F6018">
        <w:rPr>
          <w:rFonts w:ascii="Times New Roman" w:hAnsi="Times New Roman"/>
          <w:b/>
          <w:bCs/>
          <w:sz w:val="32"/>
          <w:szCs w:val="32"/>
        </w:rPr>
        <w:t xml:space="preserve"> FY 201</w:t>
      </w:r>
      <w:r w:rsidR="002714D9">
        <w:rPr>
          <w:rFonts w:ascii="Times New Roman" w:hAnsi="Times New Roman"/>
          <w:b/>
          <w:bCs/>
          <w:sz w:val="32"/>
          <w:szCs w:val="32"/>
        </w:rPr>
        <w:t>4</w:t>
      </w:r>
    </w:p>
    <w:p w:rsidR="005D239F" w:rsidRPr="00062CF1" w:rsidRDefault="002F6018" w:rsidP="0047583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Service Contract Inventory </w:t>
      </w:r>
      <w:r w:rsidR="00B82BD2">
        <w:rPr>
          <w:rFonts w:ascii="Times New Roman" w:hAnsi="Times New Roman"/>
          <w:b/>
          <w:bCs/>
          <w:sz w:val="32"/>
          <w:szCs w:val="32"/>
        </w:rPr>
        <w:t xml:space="preserve">Planned </w:t>
      </w:r>
      <w:r>
        <w:rPr>
          <w:rFonts w:ascii="Times New Roman" w:hAnsi="Times New Roman"/>
          <w:b/>
          <w:bCs/>
          <w:sz w:val="32"/>
          <w:szCs w:val="32"/>
        </w:rPr>
        <w:t xml:space="preserve">Analysis </w:t>
      </w:r>
      <w:r w:rsidR="005D239F" w:rsidRPr="00062CF1">
        <w:rPr>
          <w:rFonts w:ascii="Times New Roman" w:hAnsi="Times New Roman"/>
          <w:b/>
          <w:bCs/>
          <w:sz w:val="32"/>
          <w:szCs w:val="32"/>
        </w:rPr>
        <w:t>Report</w:t>
      </w: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Pr="00062CF1" w:rsidRDefault="00C35E91" w:rsidP="0047583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February</w:t>
      </w:r>
      <w:r w:rsidR="00F84F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04</w:t>
      </w:r>
      <w:r w:rsidR="00062CF1">
        <w:rPr>
          <w:rFonts w:ascii="Times New Roman" w:hAnsi="Times New Roman"/>
          <w:bCs/>
          <w:sz w:val="28"/>
          <w:szCs w:val="28"/>
        </w:rPr>
        <w:t>, 201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5D239F" w:rsidRDefault="005D239F">
      <w:pPr>
        <w:rPr>
          <w:rFonts w:ascii="Times New Roman" w:hAnsi="Times New Roman"/>
          <w:szCs w:val="24"/>
        </w:rPr>
      </w:pPr>
    </w:p>
    <w:p w:rsidR="00475839" w:rsidRDefault="00475839" w:rsidP="00475839">
      <w:pPr>
        <w:pStyle w:val="TOCHeading"/>
        <w:jc w:val="center"/>
        <w:rPr>
          <w:color w:val="000000"/>
        </w:rPr>
      </w:pPr>
      <w:r>
        <w:rPr>
          <w:color w:val="000000"/>
        </w:rPr>
        <w:br w:type="page"/>
      </w:r>
    </w:p>
    <w:p w:rsidR="00C074DE" w:rsidRPr="00C074DE" w:rsidRDefault="00C074DE" w:rsidP="00C074DE"/>
    <w:p w:rsidR="000F003F" w:rsidRDefault="000F003F">
      <w:pPr>
        <w:rPr>
          <w:rFonts w:ascii="Times New Roman" w:hAnsi="Times New Roman"/>
          <w:szCs w:val="24"/>
        </w:rPr>
      </w:pPr>
    </w:p>
    <w:p w:rsidR="00B82BD2" w:rsidRDefault="00E76231" w:rsidP="00B82BD2">
      <w:pPr>
        <w:pStyle w:val="ListParagraph"/>
        <w:ind w:left="0"/>
        <w:rPr>
          <w:sz w:val="23"/>
          <w:szCs w:val="23"/>
        </w:rPr>
      </w:pPr>
      <w:r w:rsidRPr="00BB6324">
        <w:t xml:space="preserve">This </w:t>
      </w:r>
      <w:r w:rsidR="009A5D63" w:rsidRPr="00BB6324">
        <w:t xml:space="preserve">National Science Foundation (NSF) report </w:t>
      </w:r>
      <w:r w:rsidR="00835CF3" w:rsidRPr="00BB6324">
        <w:t>responds to</w:t>
      </w:r>
      <w:r w:rsidR="0026165C" w:rsidRPr="00BB6324">
        <w:t xml:space="preserve"> the Office of Management and Budget</w:t>
      </w:r>
      <w:r w:rsidR="005C16FE">
        <w:t>’s Office of Federal Procurement Policy</w:t>
      </w:r>
      <w:r w:rsidR="0026165C" w:rsidRPr="00BB6324">
        <w:t xml:space="preserve"> </w:t>
      </w:r>
      <w:r w:rsidR="00862FEB">
        <w:t xml:space="preserve">(OFPP) </w:t>
      </w:r>
      <w:r w:rsidR="00A66E07">
        <w:t xml:space="preserve">request </w:t>
      </w:r>
      <w:r w:rsidR="0026165C" w:rsidRPr="00BB6324">
        <w:t xml:space="preserve">to </w:t>
      </w:r>
      <w:r w:rsidR="00B82BD2">
        <w:rPr>
          <w:sz w:val="23"/>
          <w:szCs w:val="23"/>
        </w:rPr>
        <w:t>submit to OFPP a planned analysis identifying which special interest functions in its FY 201</w:t>
      </w:r>
      <w:r w:rsidR="002714D9">
        <w:rPr>
          <w:sz w:val="23"/>
          <w:szCs w:val="23"/>
        </w:rPr>
        <w:t>4</w:t>
      </w:r>
      <w:r w:rsidR="00B82BD2">
        <w:rPr>
          <w:sz w:val="23"/>
          <w:szCs w:val="23"/>
        </w:rPr>
        <w:t xml:space="preserve"> inventory will be evaluated for analysis. </w:t>
      </w:r>
      <w:r w:rsidR="007B651A">
        <w:rPr>
          <w:sz w:val="23"/>
          <w:szCs w:val="23"/>
        </w:rPr>
        <w:t xml:space="preserve"> </w:t>
      </w:r>
      <w:r w:rsidR="00B82BD2">
        <w:rPr>
          <w:sz w:val="23"/>
          <w:szCs w:val="23"/>
        </w:rPr>
        <w:t>This submission provides the list of PSCs, dollars obligated for those PSCs in FY 201</w:t>
      </w:r>
      <w:r w:rsidR="002714D9">
        <w:rPr>
          <w:sz w:val="23"/>
          <w:szCs w:val="23"/>
        </w:rPr>
        <w:t>4</w:t>
      </w:r>
      <w:r w:rsidR="00B82BD2">
        <w:rPr>
          <w:sz w:val="23"/>
          <w:szCs w:val="23"/>
        </w:rPr>
        <w:t xml:space="preserve">, and a brief description of the rationale for selection. </w:t>
      </w:r>
    </w:p>
    <w:p w:rsidR="00B82BD2" w:rsidRDefault="00B82BD2" w:rsidP="00B82BD2">
      <w:pPr>
        <w:pStyle w:val="ListParagraph"/>
        <w:ind w:left="0"/>
        <w:rPr>
          <w:sz w:val="23"/>
          <w:szCs w:val="23"/>
        </w:rPr>
      </w:pPr>
    </w:p>
    <w:p w:rsidR="00012156" w:rsidRDefault="00B82BD2" w:rsidP="00B82BD2">
      <w:pPr>
        <w:pStyle w:val="ListParagraph"/>
        <w:ind w:left="0"/>
        <w:rPr>
          <w:sz w:val="23"/>
          <w:szCs w:val="23"/>
        </w:rPr>
      </w:pPr>
      <w:r w:rsidRPr="00482D01">
        <w:rPr>
          <w:sz w:val="23"/>
          <w:szCs w:val="23"/>
        </w:rPr>
        <w:t xml:space="preserve">NSF plans to analyze </w:t>
      </w:r>
      <w:r w:rsidR="00A66E07" w:rsidRPr="00482D01">
        <w:rPr>
          <w:sz w:val="23"/>
          <w:szCs w:val="23"/>
        </w:rPr>
        <w:t xml:space="preserve">the </w:t>
      </w:r>
      <w:r w:rsidRPr="00482D01">
        <w:rPr>
          <w:sz w:val="23"/>
          <w:szCs w:val="23"/>
        </w:rPr>
        <w:t>function</w:t>
      </w:r>
      <w:r w:rsidR="00A66E07" w:rsidRPr="00482D01">
        <w:rPr>
          <w:sz w:val="23"/>
          <w:szCs w:val="23"/>
        </w:rPr>
        <w:t>s</w:t>
      </w:r>
      <w:r w:rsidRPr="00482D01">
        <w:rPr>
          <w:sz w:val="23"/>
          <w:szCs w:val="23"/>
        </w:rPr>
        <w:t xml:space="preserve"> under PSC</w:t>
      </w:r>
      <w:r w:rsidR="00FD29F1">
        <w:rPr>
          <w:sz w:val="23"/>
          <w:szCs w:val="23"/>
        </w:rPr>
        <w:t xml:space="preserve"> </w:t>
      </w:r>
      <w:r w:rsidR="006B743A">
        <w:rPr>
          <w:sz w:val="23"/>
          <w:szCs w:val="23"/>
        </w:rPr>
        <w:t>D399</w:t>
      </w:r>
      <w:r w:rsidR="00FD29F1">
        <w:rPr>
          <w:sz w:val="23"/>
          <w:szCs w:val="23"/>
        </w:rPr>
        <w:t xml:space="preserve"> (IT and Telecommunications – Other IT and Telecommunications)</w:t>
      </w:r>
      <w:r w:rsidR="00FD29F1">
        <w:rPr>
          <w:sz w:val="23"/>
          <w:szCs w:val="23"/>
        </w:rPr>
        <w:t xml:space="preserve"> </w:t>
      </w:r>
      <w:r w:rsidR="006B743A">
        <w:rPr>
          <w:sz w:val="23"/>
          <w:szCs w:val="23"/>
        </w:rPr>
        <w:t xml:space="preserve">and </w:t>
      </w:r>
      <w:r w:rsidR="00FD29F1">
        <w:rPr>
          <w:sz w:val="23"/>
          <w:szCs w:val="23"/>
        </w:rPr>
        <w:t>R799</w:t>
      </w:r>
      <w:r w:rsidR="00FD29F1">
        <w:rPr>
          <w:sz w:val="23"/>
          <w:szCs w:val="23"/>
        </w:rPr>
        <w:t xml:space="preserve"> (Support – Management: Other)</w:t>
      </w:r>
      <w:r w:rsidR="00563DC4" w:rsidRPr="00482D01">
        <w:rPr>
          <w:sz w:val="23"/>
          <w:szCs w:val="23"/>
        </w:rPr>
        <w:t xml:space="preserve">.  </w:t>
      </w:r>
      <w:r w:rsidR="00A66E07" w:rsidRPr="00482D01">
        <w:rPr>
          <w:sz w:val="23"/>
          <w:szCs w:val="23"/>
        </w:rPr>
        <w:t xml:space="preserve">NSF </w:t>
      </w:r>
      <w:r w:rsidR="00563DC4" w:rsidRPr="00482D01">
        <w:rPr>
          <w:sz w:val="23"/>
          <w:szCs w:val="23"/>
        </w:rPr>
        <w:t xml:space="preserve">Obligations </w:t>
      </w:r>
      <w:r w:rsidR="00A66E07" w:rsidRPr="00482D01">
        <w:rPr>
          <w:sz w:val="23"/>
          <w:szCs w:val="23"/>
        </w:rPr>
        <w:t>in FY 201</w:t>
      </w:r>
      <w:r w:rsidR="002714D9">
        <w:rPr>
          <w:sz w:val="23"/>
          <w:szCs w:val="23"/>
        </w:rPr>
        <w:t>4</w:t>
      </w:r>
      <w:r w:rsidR="00A66E07" w:rsidRPr="00482D01">
        <w:rPr>
          <w:sz w:val="23"/>
          <w:szCs w:val="23"/>
        </w:rPr>
        <w:t xml:space="preserve"> </w:t>
      </w:r>
      <w:r w:rsidR="00563DC4" w:rsidRPr="00482D01">
        <w:rPr>
          <w:sz w:val="23"/>
          <w:szCs w:val="23"/>
        </w:rPr>
        <w:t>under PSC</w:t>
      </w:r>
      <w:r w:rsidR="00A66E07" w:rsidRPr="00482D01">
        <w:rPr>
          <w:sz w:val="23"/>
          <w:szCs w:val="23"/>
        </w:rPr>
        <w:t xml:space="preserve"> </w:t>
      </w:r>
      <w:r w:rsidR="006B743A">
        <w:rPr>
          <w:sz w:val="23"/>
          <w:szCs w:val="23"/>
        </w:rPr>
        <w:t>D399</w:t>
      </w:r>
      <w:r w:rsidR="000D7481">
        <w:rPr>
          <w:sz w:val="23"/>
          <w:szCs w:val="23"/>
        </w:rPr>
        <w:t xml:space="preserve"> </w:t>
      </w:r>
      <w:r w:rsidR="00FF0BE9" w:rsidRPr="00482D01">
        <w:rPr>
          <w:sz w:val="23"/>
          <w:szCs w:val="23"/>
        </w:rPr>
        <w:t>totaled $</w:t>
      </w:r>
      <w:r w:rsidR="006B743A">
        <w:rPr>
          <w:sz w:val="23"/>
          <w:szCs w:val="23"/>
        </w:rPr>
        <w:t>15,427,397</w:t>
      </w:r>
      <w:r w:rsidR="00196CFD">
        <w:rPr>
          <w:sz w:val="23"/>
          <w:szCs w:val="23"/>
        </w:rPr>
        <w:t xml:space="preserve">.   </w:t>
      </w:r>
      <w:r w:rsidR="00196CFD" w:rsidRPr="00482D01">
        <w:rPr>
          <w:sz w:val="23"/>
          <w:szCs w:val="23"/>
        </w:rPr>
        <w:t>NSF Obligations in FY 201</w:t>
      </w:r>
      <w:r w:rsidR="00196CFD">
        <w:rPr>
          <w:sz w:val="23"/>
          <w:szCs w:val="23"/>
        </w:rPr>
        <w:t>4</w:t>
      </w:r>
      <w:r w:rsidR="00196CFD" w:rsidRPr="00482D01">
        <w:rPr>
          <w:sz w:val="23"/>
          <w:szCs w:val="23"/>
        </w:rPr>
        <w:t xml:space="preserve"> under PSC </w:t>
      </w:r>
      <w:r w:rsidR="00196CFD">
        <w:rPr>
          <w:sz w:val="23"/>
          <w:szCs w:val="23"/>
        </w:rPr>
        <w:t>799 totaled $10,754,133</w:t>
      </w:r>
      <w:r w:rsidR="00FE527E" w:rsidRPr="00482D01">
        <w:rPr>
          <w:sz w:val="23"/>
          <w:szCs w:val="23"/>
        </w:rPr>
        <w:t>.</w:t>
      </w:r>
      <w:r w:rsidR="00FF0BE9" w:rsidRPr="00482D01">
        <w:rPr>
          <w:sz w:val="23"/>
          <w:szCs w:val="23"/>
        </w:rPr>
        <w:t xml:space="preserve"> </w:t>
      </w:r>
      <w:r w:rsidR="00196CFD">
        <w:rPr>
          <w:sz w:val="23"/>
          <w:szCs w:val="23"/>
        </w:rPr>
        <w:t xml:space="preserve">  </w:t>
      </w:r>
      <w:r w:rsidR="00012156">
        <w:rPr>
          <w:sz w:val="23"/>
          <w:szCs w:val="23"/>
        </w:rPr>
        <w:t xml:space="preserve">NSF is choosing PSC </w:t>
      </w:r>
      <w:r w:rsidR="006B743A">
        <w:rPr>
          <w:sz w:val="23"/>
          <w:szCs w:val="23"/>
        </w:rPr>
        <w:t>D399 and PSC R799</w:t>
      </w:r>
      <w:r w:rsidR="00196CFD">
        <w:rPr>
          <w:sz w:val="23"/>
          <w:szCs w:val="23"/>
        </w:rPr>
        <w:t xml:space="preserve"> </w:t>
      </w:r>
      <w:r w:rsidR="00012156">
        <w:rPr>
          <w:sz w:val="23"/>
          <w:szCs w:val="23"/>
        </w:rPr>
        <w:t xml:space="preserve">for the following reasons: </w:t>
      </w:r>
    </w:p>
    <w:p w:rsidR="00012156" w:rsidRDefault="00012156" w:rsidP="00B82BD2">
      <w:pPr>
        <w:pStyle w:val="ListParagraph"/>
        <w:ind w:left="0"/>
        <w:rPr>
          <w:sz w:val="23"/>
          <w:szCs w:val="23"/>
        </w:rPr>
      </w:pPr>
    </w:p>
    <w:p w:rsidR="00012156" w:rsidRPr="00505D9F" w:rsidRDefault="00012156" w:rsidP="00505D9F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sz w:val="23"/>
          <w:szCs w:val="23"/>
        </w:rPr>
        <w:t>In NSF’s FY 2011 and FY 2012 analyses, we have already examined the PSC codes in the OMB/OFPP designated special interest functions for which we have obligations.  Our FY 2011 analysis looked at PSC Code 408</w:t>
      </w:r>
      <w:r w:rsidR="006F47D6">
        <w:rPr>
          <w:sz w:val="23"/>
          <w:szCs w:val="23"/>
        </w:rPr>
        <w:t xml:space="preserve"> (Program Management/Support Services)</w:t>
      </w:r>
      <w:r>
        <w:rPr>
          <w:sz w:val="23"/>
          <w:szCs w:val="23"/>
        </w:rPr>
        <w:t>, while the FY 2012 NSF analysis examined PSC Codes R707</w:t>
      </w:r>
      <w:r w:rsidR="00FD29F1">
        <w:rPr>
          <w:sz w:val="23"/>
          <w:szCs w:val="23"/>
        </w:rPr>
        <w:t xml:space="preserve"> (Management Services/Contract and Procurement Support)</w:t>
      </w:r>
      <w:r>
        <w:rPr>
          <w:sz w:val="23"/>
          <w:szCs w:val="23"/>
        </w:rPr>
        <w:t xml:space="preserve"> and D307</w:t>
      </w:r>
      <w:r w:rsidR="00FD29F1">
        <w:rPr>
          <w:sz w:val="23"/>
          <w:szCs w:val="23"/>
        </w:rPr>
        <w:t xml:space="preserve"> (Automated Information System Services)</w:t>
      </w:r>
      <w:r>
        <w:rPr>
          <w:sz w:val="23"/>
          <w:szCs w:val="23"/>
        </w:rPr>
        <w:t>.</w:t>
      </w:r>
    </w:p>
    <w:p w:rsidR="00012156" w:rsidRPr="00505D9F" w:rsidRDefault="00012156" w:rsidP="00505D9F">
      <w:pPr>
        <w:ind w:left="720"/>
        <w:rPr>
          <w:rFonts w:ascii="Times New Roman" w:hAnsi="Times New Roman"/>
          <w:szCs w:val="24"/>
        </w:rPr>
      </w:pPr>
    </w:p>
    <w:p w:rsidR="00076B6C" w:rsidRPr="00505D9F" w:rsidRDefault="00076B6C" w:rsidP="00076B6C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05D9F">
        <w:rPr>
          <w:sz w:val="23"/>
          <w:szCs w:val="23"/>
        </w:rPr>
        <w:t xml:space="preserve">The </w:t>
      </w:r>
      <w:r w:rsidR="004152F0">
        <w:rPr>
          <w:sz w:val="23"/>
          <w:szCs w:val="23"/>
        </w:rPr>
        <w:t xml:space="preserve">3 </w:t>
      </w:r>
      <w:r w:rsidRPr="00505D9F">
        <w:rPr>
          <w:sz w:val="23"/>
          <w:szCs w:val="23"/>
        </w:rPr>
        <w:t>largest</w:t>
      </w:r>
      <w:r w:rsidR="004152F0">
        <w:rPr>
          <w:sz w:val="23"/>
          <w:szCs w:val="23"/>
        </w:rPr>
        <w:t xml:space="preserve"> </w:t>
      </w:r>
      <w:r w:rsidRPr="00505D9F">
        <w:rPr>
          <w:sz w:val="23"/>
          <w:szCs w:val="23"/>
        </w:rPr>
        <w:t>NSF PSCs in terms of percentage of obligations that are not under</w:t>
      </w:r>
      <w:r>
        <w:rPr>
          <w:sz w:val="23"/>
          <w:szCs w:val="23"/>
        </w:rPr>
        <w:t xml:space="preserve"> </w:t>
      </w:r>
      <w:r w:rsidRPr="00505D9F">
        <w:rPr>
          <w:sz w:val="23"/>
          <w:szCs w:val="23"/>
        </w:rPr>
        <w:t>special interest functions are M1HA</w:t>
      </w:r>
      <w:r w:rsidR="00FD29F1">
        <w:rPr>
          <w:sz w:val="23"/>
          <w:szCs w:val="23"/>
        </w:rPr>
        <w:t xml:space="preserve"> (Operation of Government-Owned Contractor-Operated (GOCO) R&amp;D Facilities)</w:t>
      </w:r>
      <w:r w:rsidR="004152F0">
        <w:rPr>
          <w:sz w:val="23"/>
          <w:szCs w:val="23"/>
        </w:rPr>
        <w:t>,</w:t>
      </w:r>
      <w:r w:rsidRPr="00505D9F">
        <w:rPr>
          <w:sz w:val="23"/>
          <w:szCs w:val="23"/>
        </w:rPr>
        <w:t xml:space="preserve"> </w:t>
      </w:r>
      <w:r>
        <w:rPr>
          <w:sz w:val="23"/>
          <w:szCs w:val="23"/>
        </w:rPr>
        <w:t>R499</w:t>
      </w:r>
      <w:r w:rsidR="00FD29F1">
        <w:rPr>
          <w:sz w:val="23"/>
          <w:szCs w:val="23"/>
        </w:rPr>
        <w:t xml:space="preserve"> (Support</w:t>
      </w:r>
      <w:r w:rsidR="00D97190">
        <w:rPr>
          <w:sz w:val="23"/>
          <w:szCs w:val="23"/>
        </w:rPr>
        <w:t xml:space="preserve"> – Professional: Other),</w:t>
      </w:r>
      <w:r w:rsidR="004152F0">
        <w:rPr>
          <w:sz w:val="23"/>
          <w:szCs w:val="23"/>
        </w:rPr>
        <w:t xml:space="preserve"> and D318</w:t>
      </w:r>
      <w:r w:rsidR="00D97190">
        <w:rPr>
          <w:sz w:val="23"/>
          <w:szCs w:val="23"/>
        </w:rPr>
        <w:t xml:space="preserve"> (IT and Telecom – Integrated Hardware/Software/Services Solutions, Predominately Services)</w:t>
      </w:r>
      <w:r>
        <w:rPr>
          <w:sz w:val="23"/>
          <w:szCs w:val="23"/>
        </w:rPr>
        <w:t xml:space="preserve">. </w:t>
      </w:r>
      <w:r w:rsidR="007B651A">
        <w:rPr>
          <w:sz w:val="23"/>
          <w:szCs w:val="23"/>
        </w:rPr>
        <w:t xml:space="preserve"> </w:t>
      </w:r>
      <w:r w:rsidR="004152F0">
        <w:rPr>
          <w:sz w:val="23"/>
          <w:szCs w:val="23"/>
        </w:rPr>
        <w:t>M1HA and R499</w:t>
      </w:r>
      <w:r w:rsidRPr="00505D9F">
        <w:rPr>
          <w:sz w:val="23"/>
          <w:szCs w:val="23"/>
        </w:rPr>
        <w:t xml:space="preserve"> w</w:t>
      </w:r>
      <w:r>
        <w:rPr>
          <w:sz w:val="23"/>
          <w:szCs w:val="23"/>
        </w:rPr>
        <w:t>ere</w:t>
      </w:r>
      <w:r w:rsidRPr="00505D9F">
        <w:rPr>
          <w:sz w:val="23"/>
          <w:szCs w:val="23"/>
        </w:rPr>
        <w:t xml:space="preserve"> examined in our FY 2010</w:t>
      </w:r>
      <w:r w:rsidR="00FD2C6E">
        <w:rPr>
          <w:sz w:val="23"/>
          <w:szCs w:val="23"/>
        </w:rPr>
        <w:t>,</w:t>
      </w:r>
      <w:r w:rsidRPr="00505D9F">
        <w:rPr>
          <w:sz w:val="23"/>
          <w:szCs w:val="23"/>
        </w:rPr>
        <w:t xml:space="preserve"> </w:t>
      </w:r>
      <w:r w:rsidR="004152F0">
        <w:rPr>
          <w:sz w:val="23"/>
          <w:szCs w:val="23"/>
        </w:rPr>
        <w:t xml:space="preserve">and D318 was examined our FY 2013 </w:t>
      </w:r>
      <w:r w:rsidRPr="00505D9F">
        <w:rPr>
          <w:sz w:val="23"/>
          <w:szCs w:val="23"/>
        </w:rPr>
        <w:t xml:space="preserve">analysis. </w:t>
      </w:r>
    </w:p>
    <w:p w:rsidR="00076B6C" w:rsidRPr="00076B6C" w:rsidRDefault="00076B6C" w:rsidP="00076B6C">
      <w:pPr>
        <w:ind w:left="720"/>
        <w:rPr>
          <w:rFonts w:ascii="Times New Roman" w:hAnsi="Times New Roman"/>
          <w:szCs w:val="24"/>
        </w:rPr>
      </w:pPr>
    </w:p>
    <w:p w:rsidR="00505D9F" w:rsidRPr="00505D9F" w:rsidRDefault="00505D9F" w:rsidP="00505D9F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sz w:val="23"/>
          <w:szCs w:val="23"/>
        </w:rPr>
        <w:t>D3</w:t>
      </w:r>
      <w:r w:rsidR="006B743A">
        <w:rPr>
          <w:sz w:val="23"/>
          <w:szCs w:val="23"/>
        </w:rPr>
        <w:t>99 and R799 are the 4</w:t>
      </w:r>
      <w:r w:rsidR="006B743A" w:rsidRPr="006B743A">
        <w:rPr>
          <w:sz w:val="23"/>
          <w:szCs w:val="23"/>
          <w:vertAlign w:val="superscript"/>
        </w:rPr>
        <w:t>th</w:t>
      </w:r>
      <w:r w:rsidR="006B743A">
        <w:rPr>
          <w:sz w:val="23"/>
          <w:szCs w:val="23"/>
        </w:rPr>
        <w:t xml:space="preserve"> and 5</w:t>
      </w:r>
      <w:r w:rsidR="006B743A" w:rsidRPr="006B743A">
        <w:rPr>
          <w:sz w:val="23"/>
          <w:szCs w:val="23"/>
          <w:vertAlign w:val="superscript"/>
        </w:rPr>
        <w:t>th</w:t>
      </w:r>
      <w:r w:rsidR="003A3BC9" w:rsidRPr="00482D01">
        <w:rPr>
          <w:sz w:val="23"/>
          <w:szCs w:val="23"/>
        </w:rPr>
        <w:t xml:space="preserve"> largest PSC</w:t>
      </w:r>
      <w:r w:rsidR="006B743A">
        <w:rPr>
          <w:sz w:val="23"/>
          <w:szCs w:val="23"/>
        </w:rPr>
        <w:t>s, respectively,</w:t>
      </w:r>
      <w:r w:rsidR="003A3BC9" w:rsidRPr="00482D01">
        <w:rPr>
          <w:sz w:val="23"/>
          <w:szCs w:val="23"/>
        </w:rPr>
        <w:t xml:space="preserve"> in terms of percentage of obligations</w:t>
      </w:r>
      <w:r w:rsidR="00076B6C">
        <w:rPr>
          <w:sz w:val="23"/>
          <w:szCs w:val="23"/>
        </w:rPr>
        <w:t xml:space="preserve"> that </w:t>
      </w:r>
      <w:r w:rsidR="006B743A">
        <w:rPr>
          <w:sz w:val="23"/>
          <w:szCs w:val="23"/>
        </w:rPr>
        <w:t>are</w:t>
      </w:r>
      <w:r w:rsidR="00076B6C">
        <w:rPr>
          <w:sz w:val="23"/>
          <w:szCs w:val="23"/>
        </w:rPr>
        <w:t xml:space="preserve"> not under a special interest function</w:t>
      </w:r>
      <w:r w:rsidR="003A3BC9" w:rsidRPr="00482D01">
        <w:rPr>
          <w:sz w:val="23"/>
          <w:szCs w:val="23"/>
        </w:rPr>
        <w:t xml:space="preserve"> at NSF</w:t>
      </w:r>
      <w:r w:rsidR="00196CFD">
        <w:rPr>
          <w:sz w:val="23"/>
          <w:szCs w:val="23"/>
        </w:rPr>
        <w:t xml:space="preserve"> and have contracts being performed</w:t>
      </w:r>
      <w:bookmarkStart w:id="0" w:name="_GoBack"/>
      <w:bookmarkEnd w:id="0"/>
      <w:r w:rsidR="003A3BC9" w:rsidRPr="00482D01">
        <w:rPr>
          <w:sz w:val="23"/>
          <w:szCs w:val="23"/>
        </w:rPr>
        <w:t>.</w:t>
      </w:r>
      <w:r w:rsidR="00A66E07">
        <w:rPr>
          <w:sz w:val="23"/>
          <w:szCs w:val="23"/>
        </w:rPr>
        <w:t xml:space="preserve"> </w:t>
      </w:r>
      <w:r w:rsidR="006B743A">
        <w:rPr>
          <w:sz w:val="23"/>
          <w:szCs w:val="23"/>
        </w:rPr>
        <w:t xml:space="preserve"> These functions</w:t>
      </w:r>
      <w:r w:rsidR="000D7481">
        <w:rPr>
          <w:sz w:val="23"/>
          <w:szCs w:val="23"/>
        </w:rPr>
        <w:t xml:space="preserve"> have not been previously the subject of a focused review by NSF.</w:t>
      </w:r>
    </w:p>
    <w:p w:rsidR="00505D9F" w:rsidRPr="00076B6C" w:rsidRDefault="00505D9F" w:rsidP="00076B6C">
      <w:pPr>
        <w:ind w:left="720"/>
        <w:rPr>
          <w:rFonts w:ascii="Times New Roman" w:hAnsi="Times New Roman"/>
          <w:szCs w:val="24"/>
        </w:rPr>
      </w:pPr>
    </w:p>
    <w:sectPr w:rsidR="00505D9F" w:rsidRPr="00076B6C" w:rsidSect="00E02CE6">
      <w:headerReference w:type="default" r:id="rId12"/>
      <w:footerReference w:type="even" r:id="rId13"/>
      <w:footerReference w:type="default" r:id="rId14"/>
      <w:pgSz w:w="11909" w:h="16834"/>
      <w:pgMar w:top="1440" w:right="1728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07" w:rsidRDefault="00A66E07">
      <w:r>
        <w:separator/>
      </w:r>
    </w:p>
  </w:endnote>
  <w:endnote w:type="continuationSeparator" w:id="0">
    <w:p w:rsidR="00A66E07" w:rsidRDefault="00A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07" w:rsidRDefault="00A66E07" w:rsidP="00CA6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E07" w:rsidRDefault="00A66E07" w:rsidP="00B701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07" w:rsidRDefault="00A66E07" w:rsidP="005E7777">
    <w:pPr>
      <w:pStyle w:val="Footer"/>
      <w:tabs>
        <w:tab w:val="clear" w:pos="4320"/>
        <w:tab w:val="clear" w:pos="8640"/>
        <w:tab w:val="center" w:pos="4154"/>
      </w:tabs>
      <w:ind w:right="360"/>
    </w:pPr>
    <w:r>
      <w:tab/>
    </w:r>
    <w:r>
      <w:tab/>
    </w:r>
    <w:r>
      <w:tab/>
    </w:r>
    <w:r>
      <w:tab/>
    </w:r>
    <w:r>
      <w:tab/>
    </w:r>
    <w:r w:rsidR="00E11C9E">
      <w:fldChar w:fldCharType="begin"/>
    </w:r>
    <w:r w:rsidR="00E11C9E">
      <w:instrText xml:space="preserve"> PAGE   \* MERGEFORMAT </w:instrText>
    </w:r>
    <w:r w:rsidR="00E11C9E">
      <w:fldChar w:fldCharType="separate"/>
    </w:r>
    <w:r w:rsidR="0056676C">
      <w:rPr>
        <w:noProof/>
      </w:rPr>
      <w:t>2</w:t>
    </w:r>
    <w:r w:rsidR="00E11C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07" w:rsidRDefault="00A66E07">
      <w:r>
        <w:separator/>
      </w:r>
    </w:p>
  </w:footnote>
  <w:footnote w:type="continuationSeparator" w:id="0">
    <w:p w:rsidR="00A66E07" w:rsidRDefault="00A6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07" w:rsidRDefault="00A66E07" w:rsidP="00FC4147">
    <w:pPr>
      <w:pStyle w:val="Header"/>
      <w:jc w:val="center"/>
    </w:pPr>
    <w:r>
      <w:t>NSF FY 201</w:t>
    </w:r>
    <w:r w:rsidR="002714D9">
      <w:t>4</w:t>
    </w:r>
    <w:r>
      <w:t xml:space="preserve"> Service Contract Inventory Planned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6BD"/>
    <w:multiLevelType w:val="hybridMultilevel"/>
    <w:tmpl w:val="DA7AF2E8"/>
    <w:lvl w:ilvl="0" w:tplc="E33E7F5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5F07"/>
    <w:multiLevelType w:val="hybridMultilevel"/>
    <w:tmpl w:val="A2985176"/>
    <w:lvl w:ilvl="0" w:tplc="40EE3E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64B1C"/>
    <w:multiLevelType w:val="hybridMultilevel"/>
    <w:tmpl w:val="223A694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6DE5DCE"/>
    <w:multiLevelType w:val="hybridMultilevel"/>
    <w:tmpl w:val="65284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52104"/>
    <w:multiLevelType w:val="hybridMultilevel"/>
    <w:tmpl w:val="C18A430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7F10F45"/>
    <w:multiLevelType w:val="hybridMultilevel"/>
    <w:tmpl w:val="C990220A"/>
    <w:lvl w:ilvl="0" w:tplc="DF4288A0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AF35FE"/>
    <w:multiLevelType w:val="hybridMultilevel"/>
    <w:tmpl w:val="60529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D20E8F"/>
    <w:multiLevelType w:val="hybridMultilevel"/>
    <w:tmpl w:val="716462DA"/>
    <w:lvl w:ilvl="0" w:tplc="569C04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17"/>
    <w:rsid w:val="000000E7"/>
    <w:rsid w:val="0000256A"/>
    <w:rsid w:val="00010B30"/>
    <w:rsid w:val="00012156"/>
    <w:rsid w:val="00013E25"/>
    <w:rsid w:val="00013F42"/>
    <w:rsid w:val="00014850"/>
    <w:rsid w:val="0002065D"/>
    <w:rsid w:val="0002066B"/>
    <w:rsid w:val="000222BC"/>
    <w:rsid w:val="00027890"/>
    <w:rsid w:val="00031B6F"/>
    <w:rsid w:val="00032FBA"/>
    <w:rsid w:val="00033861"/>
    <w:rsid w:val="00033AF9"/>
    <w:rsid w:val="0003762D"/>
    <w:rsid w:val="00040E98"/>
    <w:rsid w:val="00041581"/>
    <w:rsid w:val="00041D88"/>
    <w:rsid w:val="00043D9A"/>
    <w:rsid w:val="00043EE9"/>
    <w:rsid w:val="00044D49"/>
    <w:rsid w:val="00047C41"/>
    <w:rsid w:val="0005097B"/>
    <w:rsid w:val="00054EA9"/>
    <w:rsid w:val="00060F2E"/>
    <w:rsid w:val="00062CF1"/>
    <w:rsid w:val="00071279"/>
    <w:rsid w:val="00072E60"/>
    <w:rsid w:val="000746A7"/>
    <w:rsid w:val="0007631F"/>
    <w:rsid w:val="00076B6C"/>
    <w:rsid w:val="000800D6"/>
    <w:rsid w:val="00080246"/>
    <w:rsid w:val="00080384"/>
    <w:rsid w:val="0008135D"/>
    <w:rsid w:val="000971B6"/>
    <w:rsid w:val="000A2098"/>
    <w:rsid w:val="000A59F3"/>
    <w:rsid w:val="000A5AB1"/>
    <w:rsid w:val="000B3EFA"/>
    <w:rsid w:val="000B63FF"/>
    <w:rsid w:val="000C01E7"/>
    <w:rsid w:val="000C0C1F"/>
    <w:rsid w:val="000C44C4"/>
    <w:rsid w:val="000C4BEC"/>
    <w:rsid w:val="000C6750"/>
    <w:rsid w:val="000C680D"/>
    <w:rsid w:val="000D046F"/>
    <w:rsid w:val="000D1D6F"/>
    <w:rsid w:val="000D4F58"/>
    <w:rsid w:val="000D5CE0"/>
    <w:rsid w:val="000D7481"/>
    <w:rsid w:val="000E0339"/>
    <w:rsid w:val="000E2992"/>
    <w:rsid w:val="000E3736"/>
    <w:rsid w:val="000E7F45"/>
    <w:rsid w:val="000F003F"/>
    <w:rsid w:val="000F256B"/>
    <w:rsid w:val="000F2730"/>
    <w:rsid w:val="000F6445"/>
    <w:rsid w:val="000F66AF"/>
    <w:rsid w:val="000F6894"/>
    <w:rsid w:val="000F6A9C"/>
    <w:rsid w:val="000F714A"/>
    <w:rsid w:val="00104736"/>
    <w:rsid w:val="00106992"/>
    <w:rsid w:val="001109A3"/>
    <w:rsid w:val="001116A1"/>
    <w:rsid w:val="001131B0"/>
    <w:rsid w:val="001213DF"/>
    <w:rsid w:val="001216D0"/>
    <w:rsid w:val="00125D57"/>
    <w:rsid w:val="00142CC5"/>
    <w:rsid w:val="00145FC6"/>
    <w:rsid w:val="00147F0E"/>
    <w:rsid w:val="001536B2"/>
    <w:rsid w:val="00165340"/>
    <w:rsid w:val="00165342"/>
    <w:rsid w:val="00165D89"/>
    <w:rsid w:val="001663B3"/>
    <w:rsid w:val="00172037"/>
    <w:rsid w:val="0017270F"/>
    <w:rsid w:val="00181F56"/>
    <w:rsid w:val="00184CE2"/>
    <w:rsid w:val="00184FE7"/>
    <w:rsid w:val="00192D24"/>
    <w:rsid w:val="00195687"/>
    <w:rsid w:val="00196CFD"/>
    <w:rsid w:val="001A06F5"/>
    <w:rsid w:val="001A0F52"/>
    <w:rsid w:val="001A20C9"/>
    <w:rsid w:val="001A2A62"/>
    <w:rsid w:val="001A511F"/>
    <w:rsid w:val="001A5F21"/>
    <w:rsid w:val="001A6E16"/>
    <w:rsid w:val="001B2648"/>
    <w:rsid w:val="001C31AE"/>
    <w:rsid w:val="001C3AE4"/>
    <w:rsid w:val="001C431D"/>
    <w:rsid w:val="001C560C"/>
    <w:rsid w:val="001D4809"/>
    <w:rsid w:val="001D5FDF"/>
    <w:rsid w:val="001D61F8"/>
    <w:rsid w:val="001D6297"/>
    <w:rsid w:val="001D64C7"/>
    <w:rsid w:val="001D67AC"/>
    <w:rsid w:val="001E5659"/>
    <w:rsid w:val="001F10AE"/>
    <w:rsid w:val="001F1FE1"/>
    <w:rsid w:val="001F590C"/>
    <w:rsid w:val="001F64FB"/>
    <w:rsid w:val="002027B0"/>
    <w:rsid w:val="00203483"/>
    <w:rsid w:val="00205F25"/>
    <w:rsid w:val="002103A8"/>
    <w:rsid w:val="002124A1"/>
    <w:rsid w:val="00212B79"/>
    <w:rsid w:val="00213D48"/>
    <w:rsid w:val="00214933"/>
    <w:rsid w:val="00222F3B"/>
    <w:rsid w:val="00224AD0"/>
    <w:rsid w:val="0022629C"/>
    <w:rsid w:val="00230EFF"/>
    <w:rsid w:val="0023125B"/>
    <w:rsid w:val="00241821"/>
    <w:rsid w:val="00245CA1"/>
    <w:rsid w:val="00246229"/>
    <w:rsid w:val="002471F2"/>
    <w:rsid w:val="002546D1"/>
    <w:rsid w:val="00255588"/>
    <w:rsid w:val="0025640C"/>
    <w:rsid w:val="00256A80"/>
    <w:rsid w:val="00256A89"/>
    <w:rsid w:val="0026093C"/>
    <w:rsid w:val="0026165C"/>
    <w:rsid w:val="00261AFD"/>
    <w:rsid w:val="002676C4"/>
    <w:rsid w:val="00267B50"/>
    <w:rsid w:val="00270477"/>
    <w:rsid w:val="002714D9"/>
    <w:rsid w:val="00281D05"/>
    <w:rsid w:val="002830DC"/>
    <w:rsid w:val="00286883"/>
    <w:rsid w:val="002909A4"/>
    <w:rsid w:val="00295532"/>
    <w:rsid w:val="002A13B7"/>
    <w:rsid w:val="002B31D7"/>
    <w:rsid w:val="002B3570"/>
    <w:rsid w:val="002B5BB5"/>
    <w:rsid w:val="002C2B13"/>
    <w:rsid w:val="002C3E3F"/>
    <w:rsid w:val="002C49F6"/>
    <w:rsid w:val="002D2940"/>
    <w:rsid w:val="002D5B36"/>
    <w:rsid w:val="002E29DE"/>
    <w:rsid w:val="002E4890"/>
    <w:rsid w:val="002E656E"/>
    <w:rsid w:val="002F248D"/>
    <w:rsid w:val="002F25B0"/>
    <w:rsid w:val="002F3853"/>
    <w:rsid w:val="002F3C44"/>
    <w:rsid w:val="002F565F"/>
    <w:rsid w:val="002F6018"/>
    <w:rsid w:val="00300ACE"/>
    <w:rsid w:val="00301471"/>
    <w:rsid w:val="003042F4"/>
    <w:rsid w:val="0030725D"/>
    <w:rsid w:val="003107D3"/>
    <w:rsid w:val="00311901"/>
    <w:rsid w:val="00311CD6"/>
    <w:rsid w:val="00312D1A"/>
    <w:rsid w:val="00313D92"/>
    <w:rsid w:val="0031490C"/>
    <w:rsid w:val="00320821"/>
    <w:rsid w:val="003212AF"/>
    <w:rsid w:val="00322DF6"/>
    <w:rsid w:val="00326E00"/>
    <w:rsid w:val="00330FD6"/>
    <w:rsid w:val="003326F4"/>
    <w:rsid w:val="00334766"/>
    <w:rsid w:val="00336EF9"/>
    <w:rsid w:val="00342B96"/>
    <w:rsid w:val="00343B54"/>
    <w:rsid w:val="0034554B"/>
    <w:rsid w:val="003464EB"/>
    <w:rsid w:val="0035380B"/>
    <w:rsid w:val="00357D98"/>
    <w:rsid w:val="00360A3D"/>
    <w:rsid w:val="003610FD"/>
    <w:rsid w:val="0036150F"/>
    <w:rsid w:val="00372099"/>
    <w:rsid w:val="00377A65"/>
    <w:rsid w:val="00380F79"/>
    <w:rsid w:val="003821EC"/>
    <w:rsid w:val="0038461A"/>
    <w:rsid w:val="00387468"/>
    <w:rsid w:val="00387DBD"/>
    <w:rsid w:val="003969EC"/>
    <w:rsid w:val="003A3BC9"/>
    <w:rsid w:val="003A7C2C"/>
    <w:rsid w:val="003B1A58"/>
    <w:rsid w:val="003B42E6"/>
    <w:rsid w:val="003B5590"/>
    <w:rsid w:val="003B6110"/>
    <w:rsid w:val="003B7BF2"/>
    <w:rsid w:val="003D49E7"/>
    <w:rsid w:val="003D5B0E"/>
    <w:rsid w:val="003E0522"/>
    <w:rsid w:val="003E3AAA"/>
    <w:rsid w:val="003E3DDD"/>
    <w:rsid w:val="003E648F"/>
    <w:rsid w:val="003F10BF"/>
    <w:rsid w:val="003F2138"/>
    <w:rsid w:val="003F54C9"/>
    <w:rsid w:val="003F554D"/>
    <w:rsid w:val="004002BA"/>
    <w:rsid w:val="00400DC4"/>
    <w:rsid w:val="00401020"/>
    <w:rsid w:val="00401D18"/>
    <w:rsid w:val="00403F13"/>
    <w:rsid w:val="00404062"/>
    <w:rsid w:val="004100CA"/>
    <w:rsid w:val="00413456"/>
    <w:rsid w:val="0041527B"/>
    <w:rsid w:val="004152F0"/>
    <w:rsid w:val="0041646B"/>
    <w:rsid w:val="00417155"/>
    <w:rsid w:val="00417A6D"/>
    <w:rsid w:val="004231F4"/>
    <w:rsid w:val="00425A96"/>
    <w:rsid w:val="00426E55"/>
    <w:rsid w:val="0043047E"/>
    <w:rsid w:val="00431E32"/>
    <w:rsid w:val="00440592"/>
    <w:rsid w:val="004424D7"/>
    <w:rsid w:val="00446447"/>
    <w:rsid w:val="00452188"/>
    <w:rsid w:val="00454BCC"/>
    <w:rsid w:val="00454FFC"/>
    <w:rsid w:val="00455779"/>
    <w:rsid w:val="00462E97"/>
    <w:rsid w:val="004636A5"/>
    <w:rsid w:val="00466592"/>
    <w:rsid w:val="00466A41"/>
    <w:rsid w:val="00467AD8"/>
    <w:rsid w:val="004706EE"/>
    <w:rsid w:val="00471007"/>
    <w:rsid w:val="004720F3"/>
    <w:rsid w:val="00472417"/>
    <w:rsid w:val="00472798"/>
    <w:rsid w:val="00474EBA"/>
    <w:rsid w:val="00475282"/>
    <w:rsid w:val="00475839"/>
    <w:rsid w:val="00475CAA"/>
    <w:rsid w:val="00477CED"/>
    <w:rsid w:val="00482891"/>
    <w:rsid w:val="00482D01"/>
    <w:rsid w:val="00482D9C"/>
    <w:rsid w:val="004831FD"/>
    <w:rsid w:val="00484AFF"/>
    <w:rsid w:val="00485151"/>
    <w:rsid w:val="00486CC0"/>
    <w:rsid w:val="00486D00"/>
    <w:rsid w:val="00494EA9"/>
    <w:rsid w:val="00496DE1"/>
    <w:rsid w:val="004976B6"/>
    <w:rsid w:val="004A05DF"/>
    <w:rsid w:val="004C3410"/>
    <w:rsid w:val="004D408E"/>
    <w:rsid w:val="004D428E"/>
    <w:rsid w:val="004D4305"/>
    <w:rsid w:val="004D4DED"/>
    <w:rsid w:val="004D681D"/>
    <w:rsid w:val="004E17E0"/>
    <w:rsid w:val="004E2082"/>
    <w:rsid w:val="004E3166"/>
    <w:rsid w:val="004E5F4E"/>
    <w:rsid w:val="004F3E63"/>
    <w:rsid w:val="005032E8"/>
    <w:rsid w:val="00503AF5"/>
    <w:rsid w:val="00504A24"/>
    <w:rsid w:val="00505D9F"/>
    <w:rsid w:val="0051151C"/>
    <w:rsid w:val="005115A1"/>
    <w:rsid w:val="00515661"/>
    <w:rsid w:val="005163B6"/>
    <w:rsid w:val="00517B86"/>
    <w:rsid w:val="00521425"/>
    <w:rsid w:val="00522963"/>
    <w:rsid w:val="00523C88"/>
    <w:rsid w:val="005243D1"/>
    <w:rsid w:val="00527559"/>
    <w:rsid w:val="00534CA7"/>
    <w:rsid w:val="00537FC9"/>
    <w:rsid w:val="00540FF3"/>
    <w:rsid w:val="00547C57"/>
    <w:rsid w:val="005531DC"/>
    <w:rsid w:val="005549E1"/>
    <w:rsid w:val="00563DC4"/>
    <w:rsid w:val="0056676C"/>
    <w:rsid w:val="005710EB"/>
    <w:rsid w:val="00571EFE"/>
    <w:rsid w:val="00572984"/>
    <w:rsid w:val="00574359"/>
    <w:rsid w:val="00575E3D"/>
    <w:rsid w:val="005819B4"/>
    <w:rsid w:val="005820D0"/>
    <w:rsid w:val="005834E8"/>
    <w:rsid w:val="0058373B"/>
    <w:rsid w:val="00590CB5"/>
    <w:rsid w:val="00591AD5"/>
    <w:rsid w:val="005959B0"/>
    <w:rsid w:val="005B34E5"/>
    <w:rsid w:val="005B62FA"/>
    <w:rsid w:val="005B6F31"/>
    <w:rsid w:val="005C16FE"/>
    <w:rsid w:val="005C72B7"/>
    <w:rsid w:val="005D02FD"/>
    <w:rsid w:val="005D1D04"/>
    <w:rsid w:val="005D239F"/>
    <w:rsid w:val="005D36C1"/>
    <w:rsid w:val="005D3859"/>
    <w:rsid w:val="005D6B52"/>
    <w:rsid w:val="005E35BF"/>
    <w:rsid w:val="005E40E5"/>
    <w:rsid w:val="005E7777"/>
    <w:rsid w:val="005F1673"/>
    <w:rsid w:val="005F3739"/>
    <w:rsid w:val="005F4380"/>
    <w:rsid w:val="00600AE7"/>
    <w:rsid w:val="00600CFB"/>
    <w:rsid w:val="006011EE"/>
    <w:rsid w:val="0060193F"/>
    <w:rsid w:val="0060515D"/>
    <w:rsid w:val="0061110B"/>
    <w:rsid w:val="00611E24"/>
    <w:rsid w:val="00613386"/>
    <w:rsid w:val="00621118"/>
    <w:rsid w:val="006225D2"/>
    <w:rsid w:val="00623B96"/>
    <w:rsid w:val="0063008B"/>
    <w:rsid w:val="00630D13"/>
    <w:rsid w:val="006358FD"/>
    <w:rsid w:val="0064293B"/>
    <w:rsid w:val="00644397"/>
    <w:rsid w:val="006479BA"/>
    <w:rsid w:val="00647A3B"/>
    <w:rsid w:val="00651419"/>
    <w:rsid w:val="0065661C"/>
    <w:rsid w:val="00656D08"/>
    <w:rsid w:val="0065750C"/>
    <w:rsid w:val="006653DE"/>
    <w:rsid w:val="00665595"/>
    <w:rsid w:val="00667978"/>
    <w:rsid w:val="00671B87"/>
    <w:rsid w:val="0067206B"/>
    <w:rsid w:val="0067280D"/>
    <w:rsid w:val="00675EDA"/>
    <w:rsid w:val="00681399"/>
    <w:rsid w:val="00687FF1"/>
    <w:rsid w:val="00695276"/>
    <w:rsid w:val="00696350"/>
    <w:rsid w:val="006A1452"/>
    <w:rsid w:val="006A44C1"/>
    <w:rsid w:val="006A4C50"/>
    <w:rsid w:val="006A5AB4"/>
    <w:rsid w:val="006A63D3"/>
    <w:rsid w:val="006A74BE"/>
    <w:rsid w:val="006B188A"/>
    <w:rsid w:val="006B2A41"/>
    <w:rsid w:val="006B5DE5"/>
    <w:rsid w:val="006B743A"/>
    <w:rsid w:val="006D2E88"/>
    <w:rsid w:val="006D616E"/>
    <w:rsid w:val="006E0447"/>
    <w:rsid w:val="006E1E30"/>
    <w:rsid w:val="006E20CD"/>
    <w:rsid w:val="006E3039"/>
    <w:rsid w:val="006E335F"/>
    <w:rsid w:val="006E38E8"/>
    <w:rsid w:val="006E634B"/>
    <w:rsid w:val="006F044B"/>
    <w:rsid w:val="006F06EF"/>
    <w:rsid w:val="006F4092"/>
    <w:rsid w:val="006F47D6"/>
    <w:rsid w:val="006F610B"/>
    <w:rsid w:val="006F6204"/>
    <w:rsid w:val="00701061"/>
    <w:rsid w:val="00702D7C"/>
    <w:rsid w:val="00704A68"/>
    <w:rsid w:val="00706954"/>
    <w:rsid w:val="00710313"/>
    <w:rsid w:val="007119AE"/>
    <w:rsid w:val="00715CEA"/>
    <w:rsid w:val="00721A0B"/>
    <w:rsid w:val="00723CD9"/>
    <w:rsid w:val="00726B39"/>
    <w:rsid w:val="00727CC9"/>
    <w:rsid w:val="00731BAB"/>
    <w:rsid w:val="0073247F"/>
    <w:rsid w:val="007459A8"/>
    <w:rsid w:val="00753AD9"/>
    <w:rsid w:val="00753EE0"/>
    <w:rsid w:val="00756FFE"/>
    <w:rsid w:val="00757D70"/>
    <w:rsid w:val="00761AEA"/>
    <w:rsid w:val="00772721"/>
    <w:rsid w:val="007810CE"/>
    <w:rsid w:val="00787A00"/>
    <w:rsid w:val="00791BBC"/>
    <w:rsid w:val="007924C6"/>
    <w:rsid w:val="00792523"/>
    <w:rsid w:val="00792A41"/>
    <w:rsid w:val="00793D4D"/>
    <w:rsid w:val="00795C6E"/>
    <w:rsid w:val="00796F24"/>
    <w:rsid w:val="007A01DD"/>
    <w:rsid w:val="007A1FFF"/>
    <w:rsid w:val="007A3F3E"/>
    <w:rsid w:val="007A5740"/>
    <w:rsid w:val="007A637F"/>
    <w:rsid w:val="007A6D3A"/>
    <w:rsid w:val="007B3E20"/>
    <w:rsid w:val="007B555D"/>
    <w:rsid w:val="007B651A"/>
    <w:rsid w:val="007C1DD4"/>
    <w:rsid w:val="007C310C"/>
    <w:rsid w:val="007D639A"/>
    <w:rsid w:val="007E3166"/>
    <w:rsid w:val="007E4251"/>
    <w:rsid w:val="007E4844"/>
    <w:rsid w:val="007E7D0B"/>
    <w:rsid w:val="007F0F86"/>
    <w:rsid w:val="007F1285"/>
    <w:rsid w:val="007F3AE2"/>
    <w:rsid w:val="007F489A"/>
    <w:rsid w:val="007F5942"/>
    <w:rsid w:val="007F6864"/>
    <w:rsid w:val="007F6890"/>
    <w:rsid w:val="00807BE4"/>
    <w:rsid w:val="00811877"/>
    <w:rsid w:val="00817301"/>
    <w:rsid w:val="008201A2"/>
    <w:rsid w:val="008236C6"/>
    <w:rsid w:val="00824895"/>
    <w:rsid w:val="008308B7"/>
    <w:rsid w:val="00833AEA"/>
    <w:rsid w:val="00835CF3"/>
    <w:rsid w:val="00836807"/>
    <w:rsid w:val="00842C62"/>
    <w:rsid w:val="008461E9"/>
    <w:rsid w:val="00852643"/>
    <w:rsid w:val="00852ACC"/>
    <w:rsid w:val="00854DC5"/>
    <w:rsid w:val="00857E7A"/>
    <w:rsid w:val="0086258E"/>
    <w:rsid w:val="00862FEB"/>
    <w:rsid w:val="00864111"/>
    <w:rsid w:val="00864B2C"/>
    <w:rsid w:val="0086688F"/>
    <w:rsid w:val="0086728C"/>
    <w:rsid w:val="00871FD8"/>
    <w:rsid w:val="00875E1D"/>
    <w:rsid w:val="00876652"/>
    <w:rsid w:val="00884436"/>
    <w:rsid w:val="00885AA0"/>
    <w:rsid w:val="008910F9"/>
    <w:rsid w:val="0089146F"/>
    <w:rsid w:val="00892DE7"/>
    <w:rsid w:val="008974D8"/>
    <w:rsid w:val="008A412E"/>
    <w:rsid w:val="008B1677"/>
    <w:rsid w:val="008B2B67"/>
    <w:rsid w:val="008B6BE4"/>
    <w:rsid w:val="008C0422"/>
    <w:rsid w:val="008C0E5C"/>
    <w:rsid w:val="008C10A9"/>
    <w:rsid w:val="008C27F9"/>
    <w:rsid w:val="008C2E7C"/>
    <w:rsid w:val="008C3D92"/>
    <w:rsid w:val="008C7B9C"/>
    <w:rsid w:val="008D17AD"/>
    <w:rsid w:val="008D1C2B"/>
    <w:rsid w:val="008D27E1"/>
    <w:rsid w:val="008D604B"/>
    <w:rsid w:val="008D705A"/>
    <w:rsid w:val="008D7378"/>
    <w:rsid w:val="008E168C"/>
    <w:rsid w:val="008E216A"/>
    <w:rsid w:val="008E304B"/>
    <w:rsid w:val="008E488A"/>
    <w:rsid w:val="008F58F7"/>
    <w:rsid w:val="008F70E3"/>
    <w:rsid w:val="00905095"/>
    <w:rsid w:val="009069EC"/>
    <w:rsid w:val="009140BC"/>
    <w:rsid w:val="009156A8"/>
    <w:rsid w:val="00916377"/>
    <w:rsid w:val="009166E9"/>
    <w:rsid w:val="00923AB9"/>
    <w:rsid w:val="00924141"/>
    <w:rsid w:val="00932F98"/>
    <w:rsid w:val="00934494"/>
    <w:rsid w:val="00936BB3"/>
    <w:rsid w:val="009412FF"/>
    <w:rsid w:val="00945B24"/>
    <w:rsid w:val="00950A3A"/>
    <w:rsid w:val="00952A93"/>
    <w:rsid w:val="00954A41"/>
    <w:rsid w:val="00963D9E"/>
    <w:rsid w:val="00964AF3"/>
    <w:rsid w:val="00970F8A"/>
    <w:rsid w:val="0097181B"/>
    <w:rsid w:val="00974B00"/>
    <w:rsid w:val="00977B24"/>
    <w:rsid w:val="00977F6F"/>
    <w:rsid w:val="009829FD"/>
    <w:rsid w:val="00985A15"/>
    <w:rsid w:val="0099033A"/>
    <w:rsid w:val="009911E2"/>
    <w:rsid w:val="00993741"/>
    <w:rsid w:val="00994DEA"/>
    <w:rsid w:val="00997AA0"/>
    <w:rsid w:val="009A1A51"/>
    <w:rsid w:val="009A1D55"/>
    <w:rsid w:val="009A5408"/>
    <w:rsid w:val="009A5D63"/>
    <w:rsid w:val="009B21A0"/>
    <w:rsid w:val="009B7AD0"/>
    <w:rsid w:val="009C11F3"/>
    <w:rsid w:val="009C57F5"/>
    <w:rsid w:val="009C5B3E"/>
    <w:rsid w:val="009C6178"/>
    <w:rsid w:val="009D02F4"/>
    <w:rsid w:val="009D0C71"/>
    <w:rsid w:val="009D3634"/>
    <w:rsid w:val="009D4691"/>
    <w:rsid w:val="009D6072"/>
    <w:rsid w:val="009D7551"/>
    <w:rsid w:val="009E17BB"/>
    <w:rsid w:val="009E359D"/>
    <w:rsid w:val="009E3B33"/>
    <w:rsid w:val="009E50E4"/>
    <w:rsid w:val="009E5B34"/>
    <w:rsid w:val="009E6C36"/>
    <w:rsid w:val="009E7C42"/>
    <w:rsid w:val="009F3747"/>
    <w:rsid w:val="009F6233"/>
    <w:rsid w:val="00A04692"/>
    <w:rsid w:val="00A05505"/>
    <w:rsid w:val="00A11569"/>
    <w:rsid w:val="00A12086"/>
    <w:rsid w:val="00A1356D"/>
    <w:rsid w:val="00A15E62"/>
    <w:rsid w:val="00A20112"/>
    <w:rsid w:val="00A2724C"/>
    <w:rsid w:val="00A31A14"/>
    <w:rsid w:val="00A32CCB"/>
    <w:rsid w:val="00A3758C"/>
    <w:rsid w:val="00A4215B"/>
    <w:rsid w:val="00A44AC7"/>
    <w:rsid w:val="00A45F06"/>
    <w:rsid w:val="00A4704E"/>
    <w:rsid w:val="00A54B23"/>
    <w:rsid w:val="00A64325"/>
    <w:rsid w:val="00A64903"/>
    <w:rsid w:val="00A66E07"/>
    <w:rsid w:val="00A85105"/>
    <w:rsid w:val="00A855B7"/>
    <w:rsid w:val="00A9297E"/>
    <w:rsid w:val="00A94F87"/>
    <w:rsid w:val="00AA1312"/>
    <w:rsid w:val="00AA3580"/>
    <w:rsid w:val="00AA7D2E"/>
    <w:rsid w:val="00AB42D4"/>
    <w:rsid w:val="00AC37DF"/>
    <w:rsid w:val="00AC40B3"/>
    <w:rsid w:val="00AC422F"/>
    <w:rsid w:val="00AD2EB8"/>
    <w:rsid w:val="00AD5929"/>
    <w:rsid w:val="00AD634F"/>
    <w:rsid w:val="00AD6796"/>
    <w:rsid w:val="00AE04FF"/>
    <w:rsid w:val="00AE4BC2"/>
    <w:rsid w:val="00AE5F46"/>
    <w:rsid w:val="00AE5F8E"/>
    <w:rsid w:val="00AF5AB8"/>
    <w:rsid w:val="00B0652D"/>
    <w:rsid w:val="00B0668C"/>
    <w:rsid w:val="00B11512"/>
    <w:rsid w:val="00B128B6"/>
    <w:rsid w:val="00B15719"/>
    <w:rsid w:val="00B20DA7"/>
    <w:rsid w:val="00B21F9F"/>
    <w:rsid w:val="00B22CE6"/>
    <w:rsid w:val="00B22E0F"/>
    <w:rsid w:val="00B23568"/>
    <w:rsid w:val="00B26C72"/>
    <w:rsid w:val="00B312C6"/>
    <w:rsid w:val="00B33678"/>
    <w:rsid w:val="00B3640E"/>
    <w:rsid w:val="00B400B4"/>
    <w:rsid w:val="00B41478"/>
    <w:rsid w:val="00B4218E"/>
    <w:rsid w:val="00B4253E"/>
    <w:rsid w:val="00B44686"/>
    <w:rsid w:val="00B46474"/>
    <w:rsid w:val="00B504F9"/>
    <w:rsid w:val="00B52A20"/>
    <w:rsid w:val="00B61D68"/>
    <w:rsid w:val="00B62141"/>
    <w:rsid w:val="00B701D2"/>
    <w:rsid w:val="00B75361"/>
    <w:rsid w:val="00B7571C"/>
    <w:rsid w:val="00B7792D"/>
    <w:rsid w:val="00B80E99"/>
    <w:rsid w:val="00B82BD2"/>
    <w:rsid w:val="00B82F6C"/>
    <w:rsid w:val="00B87562"/>
    <w:rsid w:val="00BA1EA8"/>
    <w:rsid w:val="00BA3319"/>
    <w:rsid w:val="00BA5FFB"/>
    <w:rsid w:val="00BA60D7"/>
    <w:rsid w:val="00BA6942"/>
    <w:rsid w:val="00BB18CD"/>
    <w:rsid w:val="00BB1963"/>
    <w:rsid w:val="00BB39FC"/>
    <w:rsid w:val="00BB3A3F"/>
    <w:rsid w:val="00BB608D"/>
    <w:rsid w:val="00BB6324"/>
    <w:rsid w:val="00BB673E"/>
    <w:rsid w:val="00BB7426"/>
    <w:rsid w:val="00BC167F"/>
    <w:rsid w:val="00BC2683"/>
    <w:rsid w:val="00BC2790"/>
    <w:rsid w:val="00BC2BE7"/>
    <w:rsid w:val="00BC74B6"/>
    <w:rsid w:val="00BC7752"/>
    <w:rsid w:val="00BD1C24"/>
    <w:rsid w:val="00BD582C"/>
    <w:rsid w:val="00BE338B"/>
    <w:rsid w:val="00BE5853"/>
    <w:rsid w:val="00BE5998"/>
    <w:rsid w:val="00BE7164"/>
    <w:rsid w:val="00BF2456"/>
    <w:rsid w:val="00BF7056"/>
    <w:rsid w:val="00C003C2"/>
    <w:rsid w:val="00C0169B"/>
    <w:rsid w:val="00C033AB"/>
    <w:rsid w:val="00C074DE"/>
    <w:rsid w:val="00C11D74"/>
    <w:rsid w:val="00C13107"/>
    <w:rsid w:val="00C13671"/>
    <w:rsid w:val="00C21C35"/>
    <w:rsid w:val="00C22080"/>
    <w:rsid w:val="00C2493E"/>
    <w:rsid w:val="00C277C5"/>
    <w:rsid w:val="00C30BE6"/>
    <w:rsid w:val="00C3104D"/>
    <w:rsid w:val="00C3164C"/>
    <w:rsid w:val="00C348D5"/>
    <w:rsid w:val="00C35E91"/>
    <w:rsid w:val="00C41ED2"/>
    <w:rsid w:val="00C50F43"/>
    <w:rsid w:val="00C54A83"/>
    <w:rsid w:val="00C54C48"/>
    <w:rsid w:val="00C579AB"/>
    <w:rsid w:val="00C64AA4"/>
    <w:rsid w:val="00C64B9A"/>
    <w:rsid w:val="00C64D6A"/>
    <w:rsid w:val="00C65AD3"/>
    <w:rsid w:val="00C66BEB"/>
    <w:rsid w:val="00C718D0"/>
    <w:rsid w:val="00C77D5F"/>
    <w:rsid w:val="00C82FBB"/>
    <w:rsid w:val="00C86046"/>
    <w:rsid w:val="00C915A4"/>
    <w:rsid w:val="00C92C24"/>
    <w:rsid w:val="00C93048"/>
    <w:rsid w:val="00C95491"/>
    <w:rsid w:val="00CA156E"/>
    <w:rsid w:val="00CA1DB2"/>
    <w:rsid w:val="00CA20B1"/>
    <w:rsid w:val="00CA3AFF"/>
    <w:rsid w:val="00CA448A"/>
    <w:rsid w:val="00CA65CF"/>
    <w:rsid w:val="00CA65D8"/>
    <w:rsid w:val="00CA78BC"/>
    <w:rsid w:val="00CB2F05"/>
    <w:rsid w:val="00CB317C"/>
    <w:rsid w:val="00CB579B"/>
    <w:rsid w:val="00CB6569"/>
    <w:rsid w:val="00CC498B"/>
    <w:rsid w:val="00CC6B34"/>
    <w:rsid w:val="00CD1D4C"/>
    <w:rsid w:val="00CD271C"/>
    <w:rsid w:val="00CE01B5"/>
    <w:rsid w:val="00CE429D"/>
    <w:rsid w:val="00CE461D"/>
    <w:rsid w:val="00CE4B2A"/>
    <w:rsid w:val="00CE4DAC"/>
    <w:rsid w:val="00CE5408"/>
    <w:rsid w:val="00CE60CF"/>
    <w:rsid w:val="00CF35EC"/>
    <w:rsid w:val="00CF51DF"/>
    <w:rsid w:val="00CF54AC"/>
    <w:rsid w:val="00D0052A"/>
    <w:rsid w:val="00D00923"/>
    <w:rsid w:val="00D026BD"/>
    <w:rsid w:val="00D02A5C"/>
    <w:rsid w:val="00D0463A"/>
    <w:rsid w:val="00D0500C"/>
    <w:rsid w:val="00D14B53"/>
    <w:rsid w:val="00D17D95"/>
    <w:rsid w:val="00D2160D"/>
    <w:rsid w:val="00D216FD"/>
    <w:rsid w:val="00D232EF"/>
    <w:rsid w:val="00D23982"/>
    <w:rsid w:val="00D26B03"/>
    <w:rsid w:val="00D301A1"/>
    <w:rsid w:val="00D31AFB"/>
    <w:rsid w:val="00D32BB8"/>
    <w:rsid w:val="00D369A1"/>
    <w:rsid w:val="00D36E3A"/>
    <w:rsid w:val="00D37663"/>
    <w:rsid w:val="00D40C5D"/>
    <w:rsid w:val="00D42296"/>
    <w:rsid w:val="00D42E61"/>
    <w:rsid w:val="00D475E7"/>
    <w:rsid w:val="00D52A1B"/>
    <w:rsid w:val="00D55F74"/>
    <w:rsid w:val="00D60C8A"/>
    <w:rsid w:val="00D671A2"/>
    <w:rsid w:val="00D67296"/>
    <w:rsid w:val="00D67FA0"/>
    <w:rsid w:val="00D73FEE"/>
    <w:rsid w:val="00D75671"/>
    <w:rsid w:val="00D76935"/>
    <w:rsid w:val="00D777E6"/>
    <w:rsid w:val="00D81D0E"/>
    <w:rsid w:val="00D84820"/>
    <w:rsid w:val="00D85BE1"/>
    <w:rsid w:val="00D87912"/>
    <w:rsid w:val="00D91FB4"/>
    <w:rsid w:val="00D97190"/>
    <w:rsid w:val="00DA103D"/>
    <w:rsid w:val="00DA4511"/>
    <w:rsid w:val="00DB3287"/>
    <w:rsid w:val="00DB4784"/>
    <w:rsid w:val="00DB62B7"/>
    <w:rsid w:val="00DB71AA"/>
    <w:rsid w:val="00DC3500"/>
    <w:rsid w:val="00DC3E8B"/>
    <w:rsid w:val="00DC71DF"/>
    <w:rsid w:val="00DC74C2"/>
    <w:rsid w:val="00DD0650"/>
    <w:rsid w:val="00DD0B90"/>
    <w:rsid w:val="00DD2C06"/>
    <w:rsid w:val="00DD638E"/>
    <w:rsid w:val="00DD7696"/>
    <w:rsid w:val="00DE163E"/>
    <w:rsid w:val="00DE5D3E"/>
    <w:rsid w:val="00DE79D4"/>
    <w:rsid w:val="00DF267D"/>
    <w:rsid w:val="00E02CE6"/>
    <w:rsid w:val="00E02E93"/>
    <w:rsid w:val="00E07AC1"/>
    <w:rsid w:val="00E07D0A"/>
    <w:rsid w:val="00E11C9E"/>
    <w:rsid w:val="00E11EAE"/>
    <w:rsid w:val="00E127E8"/>
    <w:rsid w:val="00E129C5"/>
    <w:rsid w:val="00E15A2B"/>
    <w:rsid w:val="00E17D2A"/>
    <w:rsid w:val="00E250E8"/>
    <w:rsid w:val="00E316B2"/>
    <w:rsid w:val="00E3487F"/>
    <w:rsid w:val="00E37447"/>
    <w:rsid w:val="00E42102"/>
    <w:rsid w:val="00E43CE5"/>
    <w:rsid w:val="00E46094"/>
    <w:rsid w:val="00E463F9"/>
    <w:rsid w:val="00E52399"/>
    <w:rsid w:val="00E56B6E"/>
    <w:rsid w:val="00E57C88"/>
    <w:rsid w:val="00E60116"/>
    <w:rsid w:val="00E60ADA"/>
    <w:rsid w:val="00E63122"/>
    <w:rsid w:val="00E64BB0"/>
    <w:rsid w:val="00E706D8"/>
    <w:rsid w:val="00E7093F"/>
    <w:rsid w:val="00E70D0F"/>
    <w:rsid w:val="00E710F3"/>
    <w:rsid w:val="00E738DF"/>
    <w:rsid w:val="00E75172"/>
    <w:rsid w:val="00E7569C"/>
    <w:rsid w:val="00E76231"/>
    <w:rsid w:val="00E775D3"/>
    <w:rsid w:val="00E82CF8"/>
    <w:rsid w:val="00E85BCE"/>
    <w:rsid w:val="00E87A07"/>
    <w:rsid w:val="00EA2D33"/>
    <w:rsid w:val="00EB1411"/>
    <w:rsid w:val="00EB6D23"/>
    <w:rsid w:val="00EC1981"/>
    <w:rsid w:val="00EC3B2E"/>
    <w:rsid w:val="00EC5803"/>
    <w:rsid w:val="00EC6698"/>
    <w:rsid w:val="00ED5BA9"/>
    <w:rsid w:val="00ED5F10"/>
    <w:rsid w:val="00EE047E"/>
    <w:rsid w:val="00EE1F67"/>
    <w:rsid w:val="00EE406A"/>
    <w:rsid w:val="00EE4C49"/>
    <w:rsid w:val="00EE51F1"/>
    <w:rsid w:val="00EF03AB"/>
    <w:rsid w:val="00EF3D65"/>
    <w:rsid w:val="00EF4327"/>
    <w:rsid w:val="00F00A6D"/>
    <w:rsid w:val="00F023F6"/>
    <w:rsid w:val="00F02C95"/>
    <w:rsid w:val="00F03374"/>
    <w:rsid w:val="00F03483"/>
    <w:rsid w:val="00F04D69"/>
    <w:rsid w:val="00F07D99"/>
    <w:rsid w:val="00F11FFE"/>
    <w:rsid w:val="00F12672"/>
    <w:rsid w:val="00F13E64"/>
    <w:rsid w:val="00F1625F"/>
    <w:rsid w:val="00F16944"/>
    <w:rsid w:val="00F2143C"/>
    <w:rsid w:val="00F2276E"/>
    <w:rsid w:val="00F234D7"/>
    <w:rsid w:val="00F2459D"/>
    <w:rsid w:val="00F25292"/>
    <w:rsid w:val="00F26F71"/>
    <w:rsid w:val="00F27283"/>
    <w:rsid w:val="00F306A4"/>
    <w:rsid w:val="00F361FE"/>
    <w:rsid w:val="00F3633D"/>
    <w:rsid w:val="00F4545C"/>
    <w:rsid w:val="00F47FB7"/>
    <w:rsid w:val="00F54E84"/>
    <w:rsid w:val="00F628FD"/>
    <w:rsid w:val="00F62F8F"/>
    <w:rsid w:val="00F63E2D"/>
    <w:rsid w:val="00F6414A"/>
    <w:rsid w:val="00F660E8"/>
    <w:rsid w:val="00F670B9"/>
    <w:rsid w:val="00F70040"/>
    <w:rsid w:val="00F71AE2"/>
    <w:rsid w:val="00F74A58"/>
    <w:rsid w:val="00F84F03"/>
    <w:rsid w:val="00F85235"/>
    <w:rsid w:val="00F865F0"/>
    <w:rsid w:val="00F86877"/>
    <w:rsid w:val="00F868C8"/>
    <w:rsid w:val="00F9135E"/>
    <w:rsid w:val="00F9370E"/>
    <w:rsid w:val="00F97FEE"/>
    <w:rsid w:val="00FA07ED"/>
    <w:rsid w:val="00FA0952"/>
    <w:rsid w:val="00FA30A6"/>
    <w:rsid w:val="00FA72F5"/>
    <w:rsid w:val="00FC1C39"/>
    <w:rsid w:val="00FC2AA8"/>
    <w:rsid w:val="00FC3322"/>
    <w:rsid w:val="00FC4147"/>
    <w:rsid w:val="00FD29F1"/>
    <w:rsid w:val="00FD2C6E"/>
    <w:rsid w:val="00FD35EB"/>
    <w:rsid w:val="00FD4A99"/>
    <w:rsid w:val="00FD5F93"/>
    <w:rsid w:val="00FE527E"/>
    <w:rsid w:val="00FE64D8"/>
    <w:rsid w:val="00FF0BE9"/>
    <w:rsid w:val="00FF0FAD"/>
    <w:rsid w:val="00FF1644"/>
    <w:rsid w:val="00FF1993"/>
    <w:rsid w:val="00FF36ED"/>
    <w:rsid w:val="00FF5B29"/>
    <w:rsid w:val="00FF688E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n"/>
    <w:qFormat/>
    <w:rsid w:val="00AE4BC2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3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1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0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2F4"/>
    <w:rPr>
      <w:rFonts w:ascii="Book Antiqua" w:hAnsi="Book Antiqua" w:cs="Times New Roman"/>
      <w:sz w:val="24"/>
    </w:rPr>
  </w:style>
  <w:style w:type="character" w:styleId="PageNumber">
    <w:name w:val="page number"/>
    <w:basedOn w:val="DefaultParagraphFont"/>
    <w:uiPriority w:val="99"/>
    <w:rsid w:val="00B701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8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D0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2F4"/>
    <w:rPr>
      <w:rFonts w:ascii="Book Antiqua" w:hAnsi="Book Antiqua" w:cs="Times New Roman"/>
      <w:sz w:val="24"/>
    </w:rPr>
  </w:style>
  <w:style w:type="paragraph" w:styleId="NormalWeb">
    <w:name w:val="Normal (Web)"/>
    <w:basedOn w:val="Normal"/>
    <w:uiPriority w:val="99"/>
    <w:rsid w:val="006A14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6A14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C44C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7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AE2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8E168C"/>
    <w:rPr>
      <w:rFonts w:ascii="Helvetica" w:hAnsi="Helvetic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rsid w:val="00796F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3739"/>
    <w:rPr>
      <w:rFonts w:ascii="Book Antiqua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3739"/>
    <w:rPr>
      <w:rFonts w:ascii="Book Antiqua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831F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03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4BC2"/>
    <w:rPr>
      <w:rFonts w:ascii="Cambria" w:eastAsia="Times New Roman" w:hAnsi="Cambria" w:cs="Times New Roman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qFormat/>
    <w:rsid w:val="0047583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75839"/>
  </w:style>
  <w:style w:type="paragraph" w:styleId="TOC2">
    <w:name w:val="toc 2"/>
    <w:basedOn w:val="Normal"/>
    <w:next w:val="Normal"/>
    <w:autoRedefine/>
    <w:uiPriority w:val="39"/>
    <w:unhideWhenUsed/>
    <w:rsid w:val="0047583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5839"/>
    <w:pPr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E75172"/>
    <w:rPr>
      <w:rFonts w:ascii="Calibri" w:eastAsia="Times New Roman" w:hAnsi="Calibri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486CC0"/>
    <w:pPr>
      <w:ind w:left="720"/>
    </w:pPr>
  </w:style>
  <w:style w:type="paragraph" w:customStyle="1" w:styleId="Default">
    <w:name w:val="Default"/>
    <w:rsid w:val="002E48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efaultParagraphFont"/>
    <w:rsid w:val="007F5942"/>
  </w:style>
  <w:style w:type="paragraph" w:styleId="NoSpacing">
    <w:name w:val="No Spacing"/>
    <w:uiPriority w:val="1"/>
    <w:qFormat/>
    <w:rsid w:val="00330FD6"/>
    <w:rPr>
      <w:rFonts w:ascii="Book Antiqua" w:hAnsi="Book Antiqu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n"/>
    <w:qFormat/>
    <w:rsid w:val="00AE4BC2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3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1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0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2F4"/>
    <w:rPr>
      <w:rFonts w:ascii="Book Antiqua" w:hAnsi="Book Antiqua" w:cs="Times New Roman"/>
      <w:sz w:val="24"/>
    </w:rPr>
  </w:style>
  <w:style w:type="character" w:styleId="PageNumber">
    <w:name w:val="page number"/>
    <w:basedOn w:val="DefaultParagraphFont"/>
    <w:uiPriority w:val="99"/>
    <w:rsid w:val="00B701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8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D0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2F4"/>
    <w:rPr>
      <w:rFonts w:ascii="Book Antiqua" w:hAnsi="Book Antiqua" w:cs="Times New Roman"/>
      <w:sz w:val="24"/>
    </w:rPr>
  </w:style>
  <w:style w:type="paragraph" w:styleId="NormalWeb">
    <w:name w:val="Normal (Web)"/>
    <w:basedOn w:val="Normal"/>
    <w:uiPriority w:val="99"/>
    <w:rsid w:val="006A14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6A14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C44C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7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AE2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8E168C"/>
    <w:rPr>
      <w:rFonts w:ascii="Helvetica" w:hAnsi="Helvetic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rsid w:val="00796F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3739"/>
    <w:rPr>
      <w:rFonts w:ascii="Book Antiqua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3739"/>
    <w:rPr>
      <w:rFonts w:ascii="Book Antiqua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831F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03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4BC2"/>
    <w:rPr>
      <w:rFonts w:ascii="Cambria" w:eastAsia="Times New Roman" w:hAnsi="Cambria" w:cs="Times New Roman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qFormat/>
    <w:rsid w:val="0047583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75839"/>
  </w:style>
  <w:style w:type="paragraph" w:styleId="TOC2">
    <w:name w:val="toc 2"/>
    <w:basedOn w:val="Normal"/>
    <w:next w:val="Normal"/>
    <w:autoRedefine/>
    <w:uiPriority w:val="39"/>
    <w:unhideWhenUsed/>
    <w:rsid w:val="0047583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5839"/>
    <w:pPr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E75172"/>
    <w:rPr>
      <w:rFonts w:ascii="Calibri" w:eastAsia="Times New Roman" w:hAnsi="Calibri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486CC0"/>
    <w:pPr>
      <w:ind w:left="720"/>
    </w:pPr>
  </w:style>
  <w:style w:type="paragraph" w:customStyle="1" w:styleId="Default">
    <w:name w:val="Default"/>
    <w:rsid w:val="002E48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efaultParagraphFont"/>
    <w:rsid w:val="007F5942"/>
  </w:style>
  <w:style w:type="paragraph" w:styleId="NoSpacing">
    <w:name w:val="No Spacing"/>
    <w:uiPriority w:val="1"/>
    <w:qFormat/>
    <w:rsid w:val="00330FD6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D4755062FAB43A08131C06EB8DEF0" ma:contentTypeVersion="0" ma:contentTypeDescription="Create a new document." ma:contentTypeScope="" ma:versionID="deb159d94be3b544b6868e1439e308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A7D8C-89ED-4C2A-A032-4510FFD0E665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104EA-96BF-4D78-922A-82E8C0DF4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B7D1D-6279-42B1-A73C-90682A30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81276D-67CF-4E59-87EE-70C37314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DRAFT--Multi-Sector Workforce Planning Project Report--DRAFT</vt:lpstr>
    </vt:vector>
  </TitlesOfParts>
  <Company>Booz Allen Hamilton</Company>
  <LinksUpToDate>false</LinksUpToDate>
  <CharactersWithSpaces>2020</CharactersWithSpaces>
  <SharedDoc>false</SharedDoc>
  <HLinks>
    <vt:vector size="186" baseType="variant">
      <vt:variant>
        <vt:i4>4587611</vt:i4>
      </vt:variant>
      <vt:variant>
        <vt:i4>183</vt:i4>
      </vt:variant>
      <vt:variant>
        <vt:i4>0</vt:i4>
      </vt:variant>
      <vt:variant>
        <vt:i4>5</vt:i4>
      </vt:variant>
      <vt:variant>
        <vt:lpwstr>http://www.research.gov/</vt:lpwstr>
      </vt:variant>
      <vt:variant>
        <vt:lpwstr/>
      </vt:variant>
      <vt:variant>
        <vt:i4>2031669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_Toc257975712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_Toc257975711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_Toc257975710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_Toc257975709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_Toc257975708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_Toc257975707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_Toc257975706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_Toc257975705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_Toc257975704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_Toc257975703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_Toc257975702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_Toc257975701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_Toc257975700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_Toc257975699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_Toc257975698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_Toc257975697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_Toc257975696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_Toc257975695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_Toc257975694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_Toc257975693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_Toc257975692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_Toc257975691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_Toc257975690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_Toc257975689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_Toc257975688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_Toc257975687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_Toc257975686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_Toc257975685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_Toc257975684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_Toc257975683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DRAFT--Multi-Sector Workforce Planning Project Report--DRAFT</dc:title>
  <dc:creator>Caitlin Livingston</dc:creator>
  <cp:lastModifiedBy>Pihl, Richard Emil</cp:lastModifiedBy>
  <cp:revision>20</cp:revision>
  <cp:lastPrinted>2015-02-04T13:41:00Z</cp:lastPrinted>
  <dcterms:created xsi:type="dcterms:W3CDTF">2013-12-31T14:51:00Z</dcterms:created>
  <dcterms:modified xsi:type="dcterms:W3CDTF">2015-02-04T13:46:00Z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0x01010022CD4755062FAB43A08131C06EB8DEF0</vt:lpwstr>
  </property>
</Properties>
</file>